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824" w:h="12602" w:hRule="exact" w:wrap="none" w:vAnchor="page" w:hAnchor="page" w:x="406" w:y="3537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30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Контрольно-счетная палата</w:t>
      </w:r>
      <w:bookmarkEnd w:id="0"/>
    </w:p>
    <w:p>
      <w:pPr>
        <w:pStyle w:val="Style5"/>
        <w:framePr w:w="10824" w:h="12602" w:hRule="exact" w:wrap="none" w:vAnchor="page" w:hAnchor="page" w:x="406" w:y="3537"/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города Фокино</w:t>
      </w:r>
      <w:bookmarkEnd w:id="1"/>
    </w:p>
    <w:p>
      <w:pPr>
        <w:pStyle w:val="Style7"/>
        <w:framePr w:w="10824" w:h="12602" w:hRule="exact" w:wrap="none" w:vAnchor="page" w:hAnchor="page" w:x="406" w:y="35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0" w:right="0" w:firstLine="0"/>
      </w:pPr>
      <w:bookmarkStart w:id="2" w:name="bookmark2"/>
      <w:r>
        <w:rPr>
          <w:lang w:val="ru-RU" w:eastAsia="ru-RU" w:bidi="ru-RU"/>
          <w:w w:val="100"/>
          <w:color w:val="000000"/>
          <w:position w:val="0"/>
        </w:rPr>
        <w:t>ЗАКЛЮЧЕНИЕ</w:t>
      </w:r>
      <w:bookmarkEnd w:id="2"/>
    </w:p>
    <w:p>
      <w:pPr>
        <w:pStyle w:val="Style9"/>
        <w:framePr w:w="10824" w:h="12602" w:hRule="exact" w:wrap="none" w:vAnchor="page" w:hAnchor="page" w:x="406" w:y="3537"/>
        <w:widowControl w:val="0"/>
        <w:keepNext w:val="0"/>
        <w:keepLines w:val="0"/>
        <w:shd w:val="clear" w:color="auto" w:fill="auto"/>
        <w:bidi w:val="0"/>
        <w:spacing w:before="0" w:after="0"/>
        <w:ind w:left="1020" w:right="0"/>
      </w:pPr>
      <w:r>
        <w:rPr>
          <w:lang w:val="ru-RU" w:eastAsia="ru-RU" w:bidi="ru-RU"/>
          <w:w w:val="100"/>
          <w:color w:val="000000"/>
          <w:position w:val="0"/>
        </w:rPr>
        <w:t>Контрольно-счетной палаты город Фокино на Решение Совета</w:t>
        <w:br/>
        <w:t>народных депутатов города Фокино о внесении изменений и дополнений в</w:t>
        <w:br/>
        <w:t xml:space="preserve">Решение Совета народных депутатов города Фокино </w:t>
      </w:r>
      <w:r>
        <w:rPr>
          <w:rStyle w:val="CharStyle11"/>
          <w:b/>
          <w:bCs/>
        </w:rPr>
        <w:t xml:space="preserve">"О </w:t>
      </w:r>
      <w:r>
        <w:rPr>
          <w:lang w:val="ru-RU" w:eastAsia="ru-RU" w:bidi="ru-RU"/>
          <w:w w:val="100"/>
          <w:color w:val="000000"/>
          <w:position w:val="0"/>
        </w:rPr>
        <w:t>бюджете</w:t>
        <w:br/>
        <w:t>городского округа "город Фокино" на 2018 год и плановый период 2019 и</w:t>
        <w:br/>
        <w:t>2020 годов" № 5-928 от 12.12.2017</w:t>
      </w:r>
    </w:p>
    <w:p>
      <w:pPr>
        <w:pStyle w:val="Style12"/>
        <w:framePr w:w="10824" w:h="12602" w:hRule="exact" w:wrap="none" w:vAnchor="page" w:hAnchor="page" w:x="406" w:y="353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5000" w:right="0" w:firstLine="0"/>
      </w:pPr>
      <w:r>
        <w:rPr>
          <w:w w:val="100"/>
          <w:spacing w:val="0"/>
          <w:color w:val="000000"/>
          <w:position w:val="0"/>
        </w:rPr>
        <w:t>w</w:t>
      </w:r>
    </w:p>
    <w:p>
      <w:pPr>
        <w:pStyle w:val="Style14"/>
        <w:framePr w:w="10824" w:h="12602" w:hRule="exact" w:wrap="none" w:vAnchor="page" w:hAnchor="page" w:x="406" w:y="3537"/>
        <w:widowControl w:val="0"/>
        <w:keepNext w:val="0"/>
        <w:keepLines w:val="0"/>
        <w:shd w:val="clear" w:color="auto" w:fill="auto"/>
        <w:bidi w:val="0"/>
        <w:jc w:val="left"/>
        <w:spacing w:before="0" w:after="213" w:line="360" w:lineRule="exact"/>
        <w:ind w:left="5000" w:right="0" w:firstLine="0"/>
      </w:pPr>
      <w:r>
        <w:rPr>
          <w:w w:val="100"/>
          <w:spacing w:val="0"/>
          <w:color w:val="000000"/>
          <w:position w:val="0"/>
        </w:rPr>
        <w:t>S</w:t>
      </w:r>
    </w:p>
    <w:p>
      <w:pPr>
        <w:pStyle w:val="Style16"/>
        <w:framePr w:w="10824" w:h="12602" w:hRule="exact" w:wrap="none" w:vAnchor="page" w:hAnchor="page" w:x="406" w:y="3537"/>
        <w:tabs>
          <w:tab w:leader="none" w:pos="6658" w:val="left"/>
        </w:tabs>
        <w:widowControl w:val="0"/>
        <w:keepNext w:val="0"/>
        <w:keepLines w:val="0"/>
        <w:shd w:val="clear" w:color="auto" w:fill="auto"/>
        <w:bidi w:val="0"/>
        <w:spacing w:before="0" w:after="161" w:line="220" w:lineRule="exact"/>
        <w:ind w:left="1020" w:right="0"/>
      </w:pPr>
      <w:r>
        <w:rPr>
          <w:lang w:val="ru-RU" w:eastAsia="ru-RU" w:bidi="ru-RU"/>
          <w:w w:val="100"/>
          <w:color w:val="000000"/>
          <w:position w:val="0"/>
        </w:rPr>
        <w:t>г.Фокино</w:t>
        <w:tab/>
        <w:t>10 апреля 2018 года</w:t>
      </w:r>
    </w:p>
    <w:p>
      <w:pPr>
        <w:pStyle w:val="Style18"/>
        <w:framePr w:w="10824" w:h="12602" w:hRule="exact" w:wrap="none" w:vAnchor="page" w:hAnchor="page" w:x="406" w:y="3537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1020" w:right="0" w:firstLine="1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заключение подготовлено на основании письма администрации</w:t>
        <w:br/>
        <w:t>города от 10 апреля 2018 года № 688.</w:t>
      </w:r>
    </w:p>
    <w:p>
      <w:pPr>
        <w:pStyle w:val="Style7"/>
        <w:framePr w:w="10824" w:h="12602" w:hRule="exact" w:wrap="none" w:vAnchor="page" w:hAnchor="page" w:x="406" w:y="3537"/>
        <w:widowControl w:val="0"/>
        <w:keepNext w:val="0"/>
        <w:keepLines w:val="0"/>
        <w:shd w:val="clear" w:color="auto" w:fill="auto"/>
        <w:bidi w:val="0"/>
        <w:jc w:val="left"/>
        <w:spacing w:before="0" w:after="0" w:line="367" w:lineRule="exact"/>
        <w:ind w:left="1020" w:right="0" w:firstLine="140"/>
      </w:pPr>
      <w:bookmarkStart w:id="3" w:name="bookmark3"/>
      <w:r>
        <w:rPr>
          <w:lang w:val="ru-RU" w:eastAsia="ru-RU" w:bidi="ru-RU"/>
          <w:w w:val="100"/>
          <w:color w:val="000000"/>
          <w:position w:val="0"/>
        </w:rPr>
        <w:t>Доходная часть бюджета:</w:t>
      </w:r>
      <w:bookmarkEnd w:id="3"/>
    </w:p>
    <w:p>
      <w:pPr>
        <w:pStyle w:val="Style18"/>
        <w:numPr>
          <w:ilvl w:val="0"/>
          <w:numId w:val="1"/>
        </w:numPr>
        <w:framePr w:w="10824" w:h="12602" w:hRule="exact" w:wrap="none" w:vAnchor="page" w:hAnchor="page" w:x="406" w:y="3537"/>
        <w:tabs>
          <w:tab w:leader="none" w:pos="13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Налог на доходы физических лиц с доходов лиц с доходов, полученных от</w:t>
        <w:br/>
        <w:t>осуществления деятельности физическими лицами, зарегистрированными в</w:t>
        <w:br/>
        <w:t>качестве индивидуальных предпринимателей, нотариусов, занимающихся</w:t>
        <w:br/>
        <w:t>частной практикой, адвокатов, учредивш</w:t>
      </w:r>
      <w:r>
        <w:rPr>
          <w:rStyle w:val="CharStyle20"/>
        </w:rPr>
        <w:t>их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адвокатские кабинеты и других лиц,</w:t>
        <w:br/>
        <w:t>занимающихся частной практикой в соответствии со статьей 227 Налогового</w:t>
        <w:br/>
        <w:t>кодекса Российской Федерации- доходы увеличены на сумму 36500,00 рублей. В</w:t>
        <w:br/>
        <w:t>то же время налог на доходы физических лиц с доходов, полученных в</w:t>
        <w:br/>
        <w:t>соответствии со статьей 228 Налогового Кодекса Российской Федерации,</w:t>
        <w:br/>
        <w:t>уменьшен - на 36500</w:t>
      </w:r>
      <w:r>
        <w:rPr>
          <w:lang w:val="ru-RU" w:eastAsia="ru-RU" w:bidi="ru-RU"/>
          <w:vertAlign w:val="subscript"/>
          <w:w w:val="100"/>
          <w:spacing w:val="0"/>
          <w:color w:val="000000"/>
          <w:position w:val="0"/>
        </w:rPr>
        <w:t>?</w:t>
      </w:r>
      <w:r>
        <w:rPr>
          <w:lang w:val="ru-RU" w:eastAsia="ru-RU" w:bidi="ru-RU"/>
          <w:w w:val="100"/>
          <w:spacing w:val="0"/>
          <w:color w:val="000000"/>
          <w:position w:val="0"/>
        </w:rPr>
        <w:t>00 рублей. Причина (пояснение) - уточнения исходя из</w:t>
        <w:br/>
        <w:t>фактических сумм перечислений.</w:t>
      </w:r>
    </w:p>
    <w:p>
      <w:pPr>
        <w:pStyle w:val="Style18"/>
        <w:numPr>
          <w:ilvl w:val="0"/>
          <w:numId w:val="1"/>
        </w:numPr>
        <w:framePr w:w="10824" w:h="12602" w:hRule="exact" w:wrap="none" w:vAnchor="page" w:hAnchor="page" w:x="406" w:y="3537"/>
        <w:tabs>
          <w:tab w:leader="none" w:pos="15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Земельный налог с организаций, обладающих земельным участком,</w:t>
        <w:br/>
        <w:t>расположенным в границах городских округов - уменьшен на 4 582190,00</w:t>
        <w:br/>
        <w:t>рублей. Причина (пояснения) - возмещение земельного налога организацией АО</w:t>
        <w:br/>
        <w:t>«Мальцовский портландцемент»( за 2014 год). Арбитражным судом Брянской</w:t>
        <w:br/>
        <w:t>области от 09.09.2014г. (дело №А09-11796\2013) и от 08.09.2014г. (делоА09-</w:t>
        <w:br/>
        <w:t>1179/2013) были вынесены Решения об установлении кадастровой стоимости</w:t>
        <w:br/>
        <w:t>земельных участков на основании экспертного заключения.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numPr>
          <w:ilvl w:val="0"/>
          <w:numId w:val="3"/>
        </w:numPr>
        <w:framePr w:w="10824" w:h="15559" w:hRule="exact" w:wrap="none" w:vAnchor="page" w:hAnchor="page" w:x="451" w:y="714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Государственная пошлина по делам, рассматриваемым в судах общей</w:t>
        <w:br/>
        <w:t>юрисдикции, мировыми судьями (за исключением Верховного Суда Российской</w:t>
        <w:br/>
        <w:t>Федерации) - увеличены доходы на 5000,0 тыс. рублей. Причина (пояснения) -</w:t>
        <w:br/>
        <w:t>исходя из фактических поступлений на 01.04.18 года.</w:t>
      </w:r>
    </w:p>
    <w:p>
      <w:pPr>
        <w:pStyle w:val="Style18"/>
        <w:numPr>
          <w:ilvl w:val="0"/>
          <w:numId w:val="3"/>
        </w:numPr>
        <w:framePr w:w="10824" w:h="15559" w:hRule="exact" w:wrap="none" w:vAnchor="page" w:hAnchor="page" w:x="451" w:y="714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Плата за выбросы загрязняющих веществ в атмосферный воздух</w:t>
        <w:br/>
        <w:t>стационарными объектами - увеличены доходы на 4577190,00 рублей. Причина</w:t>
        <w:br/>
        <w:t>(пояснения) - сумма перечислений по оплате за негативное воздействие на</w:t>
        <w:br/>
        <w:t>окружающую среду за 2017 год ( по сроку не позже 1 марта 2018 года).</w:t>
      </w:r>
    </w:p>
    <w:p>
      <w:pPr>
        <w:pStyle w:val="Style18"/>
        <w:numPr>
          <w:ilvl w:val="0"/>
          <w:numId w:val="3"/>
        </w:numPr>
        <w:framePr w:w="10824" w:h="15559" w:hRule="exact" w:wrap="none" w:vAnchor="page" w:hAnchor="page" w:x="451" w:y="714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Денежные взыскания (штрафы) за административные правонарушения в</w:t>
        <w:br/>
        <w:t>области налогов и сборов, предусмотренные Кодексом Российской Федерации</w:t>
        <w:br/>
        <w:t>об административных правонарушениях - увеличены на 3000,0 рублей.</w:t>
        <w:br/>
        <w:t>Причина (пояснения) - исходя из фактических поступлений на 01.04.2018 года.</w:t>
        <w:br/>
        <w:t>В то же время. Денежные взыскания (штрафы) за нарушения законодательства о</w:t>
        <w:br/>
        <w:t>применения контрольно-кассовой техники при осуществления наличных</w:t>
        <w:br/>
        <w:t>денежных расчетов и (или) расчетов с использованием платежных карт</w:t>
        <w:br/>
        <w:t>уменьшены доходы на сумму 3000,0 рублей. Причина (пояснения) - исходя из</w:t>
        <w:br/>
        <w:t>фактических поступлений на 01.04.2018 года.</w:t>
      </w:r>
    </w:p>
    <w:p>
      <w:pPr>
        <w:pStyle w:val="Style18"/>
        <w:numPr>
          <w:ilvl w:val="0"/>
          <w:numId w:val="3"/>
        </w:numPr>
        <w:framePr w:w="10824" w:h="15559" w:hRule="exact" w:wrap="none" w:vAnchor="page" w:hAnchor="page" w:x="451" w:y="714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Субсидии бюджетам городских округов на осуществление дорожной</w:t>
        <w:br/>
        <w:t>деятельности в отношении автомобильных дорог общего пользования, а также</w:t>
        <w:br/>
        <w:t>капитального ремонта и ремонта дворовых территорий многоквартирных домов,</w:t>
        <w:br/>
        <w:t>проездов к дворовым территориям многоквартирных домов населенных пунктов</w:t>
        <w:br/>
        <w:t>- уменьшены доходы на 2629884,66 рублей. Причина (пояснения) - на</w:t>
        <w:br/>
        <w:t>основании постановления Правительства Брянской области № 67-П от</w:t>
        <w:br/>
        <w:t>19.02.2018 года.</w:t>
      </w:r>
    </w:p>
    <w:p>
      <w:pPr>
        <w:pStyle w:val="Style18"/>
        <w:numPr>
          <w:ilvl w:val="0"/>
          <w:numId w:val="3"/>
        </w:numPr>
        <w:framePr w:w="10824" w:h="15559" w:hRule="exact" w:wrap="none" w:vAnchor="page" w:hAnchor="page" w:x="451" w:y="714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Субсидии бюджетам на обеспечения развития и укрепления материально-</w:t>
      </w:r>
    </w:p>
    <w:p>
      <w:pPr>
        <w:pStyle w:val="Style18"/>
        <w:framePr w:w="10824" w:h="15559" w:hRule="exact" w:wrap="none" w:vAnchor="page" w:hAnchor="page" w:x="451" w:y="714"/>
        <w:tabs>
          <w:tab w:leader="none" w:pos="76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технической базы домов культуры в населенных пунктах с числом жителей до 50</w:t>
        <w:br/>
        <w:t>тысяч человек - увеличены доходы на 400000,0 рублей. Причина (пояснения) -</w:t>
        <w:br/>
        <w:t>на основании постановления Правительства Брянской области «Об утверждении</w:t>
        <w:br/>
        <w:t>распределения субсидий, представляемых в</w:t>
        <w:tab/>
        <w:t>2018 году бюджетам</w:t>
      </w:r>
    </w:p>
    <w:p>
      <w:pPr>
        <w:pStyle w:val="Style18"/>
        <w:framePr w:w="10824" w:h="15559" w:hRule="exact" w:wrap="none" w:vAnchor="page" w:hAnchor="page" w:x="451" w:y="7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муниципальных районов (городских округов) на обеспечения развития и</w:t>
        <w:br/>
        <w:t>укрепления материально-технической базы домов культуры Брянской области»</w:t>
        <w:br/>
        <w:t>№ 126-П от 23.03.2018 года.</w:t>
      </w:r>
    </w:p>
    <w:p>
      <w:pPr>
        <w:pStyle w:val="Style18"/>
        <w:numPr>
          <w:ilvl w:val="0"/>
          <w:numId w:val="3"/>
        </w:numPr>
        <w:framePr w:w="10824" w:h="15559" w:hRule="exact" w:wrap="none" w:vAnchor="page" w:hAnchor="page" w:x="451" w:y="714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Субсидии бюджетам на реализацию мероприятий по обеспечению жильем</w:t>
        <w:br/>
        <w:t>молодых семей — увеличены доходы на 364162,50 рублей. Причина (пояснения)-</w:t>
        <w:br/>
        <w:t>на основании постановления Правительства Брянской области «О распределения</w:t>
        <w:br/>
        <w:t>на 2018 год субсидий бюджетам муниципальных районов и городских округов</w:t>
        <w:br/>
        <w:t>Брянской области для долевого финансирования расходов, связанных с</w:t>
        <w:br/>
        <w:t>реализацией подпрограммы обеспечения жильем молодых семей в Брянской</w:t>
        <w:br/>
        <w:t>области» (2017-2010 годы) №68-П от 19.02.2018 года.</w:t>
      </w:r>
    </w:p>
    <w:p>
      <w:pPr>
        <w:pStyle w:val="Style18"/>
        <w:numPr>
          <w:ilvl w:val="0"/>
          <w:numId w:val="3"/>
        </w:numPr>
        <w:framePr w:w="10824" w:h="15559" w:hRule="exact" w:wrap="none" w:vAnchor="page" w:hAnchor="page" w:x="451" w:y="714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Субсидии бюджетам городских округов на поддержку государственных</w:t>
        <w:br/>
        <w:t>программ Российской Федерации и муниципальных программ формирования</w:t>
        <w:br/>
        <w:t>современной городской среды - увеличены на 9105659,30 рублей, Причина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framePr w:w="10747" w:h="15591" w:hRule="exact" w:wrap="none" w:vAnchor="page" w:hAnchor="page" w:x="524" w:y="756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(основание)- на основании постановления Правительства Брянской области от</w:t>
        <w:br/>
        <w:t>09.02.2018 года №34-11.</w:t>
      </w:r>
    </w:p>
    <w:p>
      <w:pPr>
        <w:pStyle w:val="Style18"/>
        <w:framePr w:w="10747" w:h="15591" w:hRule="exact" w:wrap="none" w:vAnchor="page" w:hAnchor="page" w:x="524" w:y="756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960" w:right="0" w:firstLine="2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изменению доходной части бюджета необходимо отметить, что ряд статей</w:t>
        <w:br/>
        <w:t>его доходной части вовсе не рассматривались как доходы это доходы,</w:t>
        <w:br/>
        <w:t>изложенные в пунктах 1 и 5 на сумму 5000,0 и 3000,0 рублей. Равно как и</w:t>
        <w:br/>
        <w:t>субсидии, изложенные в пунктах 9,8 и 7 на суммы 9105659,30 рублей, 364162,50</w:t>
        <w:br/>
        <w:t>рублей и 400000,00 рублей.</w:t>
      </w:r>
    </w:p>
    <w:p>
      <w:pPr>
        <w:pStyle w:val="Style18"/>
        <w:framePr w:w="10747" w:h="15591" w:hRule="exact" w:wrap="none" w:vAnchor="page" w:hAnchor="page" w:x="524" w:y="756"/>
        <w:widowControl w:val="0"/>
        <w:keepNext w:val="0"/>
        <w:keepLines w:val="0"/>
        <w:shd w:val="clear" w:color="auto" w:fill="auto"/>
        <w:bidi w:val="0"/>
        <w:jc w:val="both"/>
        <w:spacing w:before="0" w:after="302" w:line="370" w:lineRule="exact"/>
        <w:ind w:left="960" w:right="0" w:firstLine="2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целом доходную часть бюджета увеличится на 7239937,14 рублей и</w:t>
        <w:br/>
        <w:t>составит 234190560,80 рублей против ранее запланированных</w:t>
        <w:br/>
        <w:t>226950623,66рублей.</w:t>
      </w:r>
    </w:p>
    <w:p>
      <w:pPr>
        <w:pStyle w:val="Style9"/>
        <w:framePr w:w="10747" w:h="15591" w:hRule="exact" w:wrap="none" w:vAnchor="page" w:hAnchor="page" w:x="524" w:y="756"/>
        <w:widowControl w:val="0"/>
        <w:keepNext w:val="0"/>
        <w:keepLines w:val="0"/>
        <w:shd w:val="clear" w:color="auto" w:fill="auto"/>
        <w:bidi w:val="0"/>
        <w:spacing w:before="0" w:after="0" w:line="367" w:lineRule="exact"/>
        <w:ind w:left="960" w:right="0" w:firstLine="240"/>
      </w:pPr>
      <w:r>
        <w:rPr>
          <w:rStyle w:val="CharStyle21"/>
          <w:b/>
          <w:bCs/>
        </w:rPr>
        <w:t>Расходная часть бюджета:</w:t>
      </w:r>
    </w:p>
    <w:p>
      <w:pPr>
        <w:pStyle w:val="Style18"/>
        <w:numPr>
          <w:ilvl w:val="0"/>
          <w:numId w:val="5"/>
        </w:numPr>
        <w:framePr w:w="10747" w:h="15591" w:hRule="exact" w:wrap="none" w:vAnchor="page" w:hAnchor="page" w:x="524" w:y="756"/>
        <w:tabs>
          <w:tab w:leader="none" w:pos="1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Увеличены расходы на сумму 2344,0 рублей - это до счет для</w:t>
        <w:br/>
        <w:t>трудоустройства в свободное от учебы время несовершеннолетних граждан в</w:t>
        <w:br/>
        <w:t>возрасте от 14 до 18 лет (за счет муниципального бюджета будет трудоустроено</w:t>
        <w:br/>
        <w:t>7 человек) — основание письмо от 02.04.2018 № 69 от ГКУ «Центр занятости</w:t>
        <w:br/>
        <w:t>населения г. Дятьково».</w:t>
      </w:r>
    </w:p>
    <w:p>
      <w:pPr>
        <w:pStyle w:val="Style18"/>
        <w:numPr>
          <w:ilvl w:val="0"/>
          <w:numId w:val="5"/>
        </w:numPr>
        <w:framePr w:w="10747" w:h="15591" w:hRule="exact" w:wrap="none" w:vAnchor="page" w:hAnchor="page" w:x="524" w:y="756"/>
        <w:tabs>
          <w:tab w:leader="none" w:pos="13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Уменьшены расходы на сумму 2629884,ббрублей на основании постановления</w:t>
        <w:br/>
        <w:t>Правительства Брянской области от 19.02.2018 года №67-П. Так как по</w:t>
        <w:br/>
        <w:t>результатам торгов по ремонту дорог на эту сумму расходы стали меньше.</w:t>
      </w:r>
    </w:p>
    <w:p>
      <w:pPr>
        <w:pStyle w:val="Style18"/>
        <w:numPr>
          <w:ilvl w:val="0"/>
          <w:numId w:val="5"/>
        </w:numPr>
        <w:framePr w:w="10747" w:h="15591" w:hRule="exact" w:wrap="none" w:vAnchor="page" w:hAnchor="page" w:x="524" w:y="756"/>
        <w:tabs>
          <w:tab w:leader="none" w:pos="1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Увеличены расходы на сумму 46000,0 рублей - недостающая сумма со</w:t>
        <w:br/>
        <w:t>финансирования в части ремонта дороги по ул. Ленина.</w:t>
      </w:r>
    </w:p>
    <w:p>
      <w:pPr>
        <w:pStyle w:val="Style18"/>
        <w:numPr>
          <w:ilvl w:val="0"/>
          <w:numId w:val="7"/>
        </w:numPr>
        <w:framePr w:w="10747" w:h="15591" w:hRule="exact" w:wrap="none" w:vAnchor="page" w:hAnchor="page" w:x="524" w:y="756"/>
        <w:tabs>
          <w:tab w:leader="none" w:pos="12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Уменьшены расходы на сумму 46048,00 рублей по расходам на обеспечения</w:t>
        <w:br/>
        <w:t>сохранности автомобильных дорог - экономия в рамках исполнения</w:t>
      </w:r>
    </w:p>
    <w:p>
      <w:pPr>
        <w:pStyle w:val="Style18"/>
        <w:numPr>
          <w:ilvl w:val="0"/>
          <w:numId w:val="7"/>
        </w:numPr>
        <w:framePr w:w="10747" w:h="15591" w:hRule="exact" w:wrap="none" w:vAnchor="page" w:hAnchor="page" w:x="524" w:y="756"/>
        <w:tabs>
          <w:tab w:leader="none" w:pos="1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Уменьшены расходы по взносам на капитальный ремонт многоквартирных</w:t>
        <w:br/>
        <w:t>домов на сумму 6300,00 рублей - экономия в рамках исполнения.</w:t>
      </w:r>
    </w:p>
    <w:p>
      <w:pPr>
        <w:pStyle w:val="Style18"/>
        <w:numPr>
          <w:ilvl w:val="0"/>
          <w:numId w:val="7"/>
        </w:numPr>
        <w:framePr w:w="10747" w:h="15591" w:hRule="exact" w:wrap="none" w:vAnchor="page" w:hAnchor="page" w:x="524" w:y="756"/>
        <w:tabs>
          <w:tab w:leader="none" w:pos="1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Увеличены расходы по мероприятиям в сфере ЖКХ на сумму 26300,00</w:t>
        <w:br/>
        <w:t>рублей(6300,00 рублей — недостающие суммы для постановки на учет</w:t>
        <w:br/>
        <w:t>обязательств по теплоснабжению и 20000,00 рублей приобретение строительных</w:t>
        <w:br/>
        <w:t>материалов для ремонта муниципального жилья).</w:t>
      </w:r>
    </w:p>
    <w:p>
      <w:pPr>
        <w:pStyle w:val="Style18"/>
        <w:numPr>
          <w:ilvl w:val="0"/>
          <w:numId w:val="7"/>
        </w:numPr>
        <w:framePr w:w="10747" w:h="15591" w:hRule="exact" w:wrap="none" w:vAnchor="page" w:hAnchor="page" w:x="524" w:y="756"/>
        <w:tabs>
          <w:tab w:leader="none" w:pos="12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Увеличены расходы на 101000,0 рублей на со финансирования мероприятий</w:t>
        <w:br/>
        <w:t>по подготовке ЖКХ к зиме.</w:t>
      </w:r>
    </w:p>
    <w:p>
      <w:pPr>
        <w:pStyle w:val="Style18"/>
        <w:numPr>
          <w:ilvl w:val="0"/>
          <w:numId w:val="7"/>
        </w:numPr>
        <w:framePr w:w="10747" w:h="15591" w:hRule="exact" w:wrap="none" w:vAnchor="page" w:hAnchor="page" w:x="524" w:y="756"/>
        <w:tabs>
          <w:tab w:leader="none" w:pos="12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Увеличены расходы на 9105659,30 на основании постановления правительства</w:t>
        <w:br/>
        <w:t>Брянской областй от09.02.2018 года (формирование современной городской</w:t>
        <w:br/>
        <w:t>среды).</w:t>
      </w:r>
    </w:p>
    <w:p>
      <w:pPr>
        <w:pStyle w:val="Style18"/>
        <w:numPr>
          <w:ilvl w:val="0"/>
          <w:numId w:val="7"/>
        </w:numPr>
        <w:framePr w:w="10747" w:h="15591" w:hRule="exact" w:wrap="none" w:vAnchor="page" w:hAnchor="page" w:x="524" w:y="756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Увеличены и одновременно уменьшены расходы на 3228,0 рублей по со</w:t>
        <w:br/>
        <w:t>финансированию ремонта окон детском саду «Теремок», для этого в бюджете</w:t>
        <w:br/>
        <w:t>города открыта строка расходов - отдельные мероприятия по развитию</w:t>
        <w:br/>
        <w:t>образования за счет средств местного бюджета на эту сумму.</w:t>
      </w:r>
    </w:p>
    <w:p>
      <w:pPr>
        <w:pStyle w:val="Style18"/>
        <w:numPr>
          <w:ilvl w:val="0"/>
          <w:numId w:val="7"/>
        </w:numPr>
        <w:framePr w:w="10747" w:h="15591" w:hRule="exact" w:wrap="none" w:vAnchor="page" w:hAnchor="page" w:x="524" w:y="756"/>
        <w:tabs>
          <w:tab w:leader="none" w:pos="14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Увеличены расходы на 400000,0 рублей по постановлению Правительства</w:t>
        <w:br/>
        <w:t>Брянской области от23.03.2018 года № 126-П (на обеспечение развития и</w:t>
        <w:br/>
        <w:t>укрепления материально-технической базы домов культуры).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numPr>
          <w:ilvl w:val="0"/>
          <w:numId w:val="9"/>
        </w:numPr>
        <w:framePr w:w="10742" w:h="7807" w:hRule="exact" w:wrap="none" w:vAnchor="page" w:hAnchor="page" w:x="567" w:y="747"/>
        <w:tabs>
          <w:tab w:leader="none" w:pos="14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Уменьшены расходы на сумму 1000,0 рублей - экономия в рамках</w:t>
        <w:br/>
        <w:t>заключенного соглашения № 15710000-1-2018-003 от 23.03.2018 - реализация</w:t>
        <w:br/>
        <w:t>мероприятий по обеспечению жильем молодых семей за счет средств местного</w:t>
        <w:br/>
        <w:t>бюджета.</w:t>
      </w:r>
    </w:p>
    <w:p>
      <w:pPr>
        <w:pStyle w:val="Style18"/>
        <w:numPr>
          <w:ilvl w:val="0"/>
          <w:numId w:val="9"/>
        </w:numPr>
        <w:framePr w:w="10742" w:h="7807" w:hRule="exact" w:wrap="none" w:vAnchor="page" w:hAnchor="page" w:x="567" w:y="747"/>
        <w:tabs>
          <w:tab w:leader="none" w:pos="14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Увеличены расходы на сумму 364162,50 рублей - по постановлению</w:t>
      </w:r>
    </w:p>
    <w:p>
      <w:pPr>
        <w:pStyle w:val="Style18"/>
        <w:framePr w:w="10742" w:h="7807" w:hRule="exact" w:wrap="none" w:vAnchor="page" w:hAnchor="page" w:x="567" w:y="747"/>
        <w:tabs>
          <w:tab w:leader="none" w:pos="83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Правительства Брянской области от19.02.2018 №68-П</w:t>
        <w:tab/>
        <w:t>- мероприятия по</w:t>
      </w:r>
    </w:p>
    <w:p>
      <w:pPr>
        <w:pStyle w:val="Style18"/>
        <w:framePr w:w="10742" w:h="7807" w:hRule="exact" w:wrap="none" w:vAnchor="page" w:hAnchor="page" w:x="567" w:y="74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обеспечению жильем молодых семей.</w:t>
      </w:r>
    </w:p>
    <w:p>
      <w:pPr>
        <w:pStyle w:val="Style18"/>
        <w:numPr>
          <w:ilvl w:val="0"/>
          <w:numId w:val="9"/>
        </w:numPr>
        <w:framePr w:w="10742" w:h="7807" w:hRule="exact" w:wrap="none" w:vAnchor="page" w:hAnchor="page" w:x="567" w:y="747"/>
        <w:tabs>
          <w:tab w:leader="none" w:pos="14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Увеличены расходы по администрации, одновременно уменьшены резервные</w:t>
        <w:br/>
        <w:t>средства по финансовому управлению на сумму 12000,0 рублей на выплаты</w:t>
        <w:br/>
        <w:t>пострадавшим от пожара.</w:t>
      </w:r>
    </w:p>
    <w:p>
      <w:pPr>
        <w:pStyle w:val="Style18"/>
        <w:numPr>
          <w:ilvl w:val="0"/>
          <w:numId w:val="9"/>
        </w:numPr>
        <w:framePr w:w="10742" w:h="7807" w:hRule="exact" w:wrap="none" w:vAnchor="page" w:hAnchor="page" w:x="567" w:y="747"/>
        <w:tabs>
          <w:tab w:leader="none" w:pos="14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Увеличены расходы на 1704,0 рублей как не достающую сумма для покупки</w:t>
        <w:br/>
        <w:t>принтера в Контрольно- счетную палату города.</w:t>
      </w:r>
    </w:p>
    <w:p>
      <w:pPr>
        <w:pStyle w:val="Style18"/>
        <w:framePr w:w="10742" w:h="7807" w:hRule="exact" w:wrap="none" w:vAnchor="page" w:hAnchor="page" w:x="567" w:y="74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основании выше изложенного.</w:t>
      </w:r>
    </w:p>
    <w:p>
      <w:pPr>
        <w:pStyle w:val="Style18"/>
        <w:framePr w:w="10742" w:h="7807" w:hRule="exact" w:wrap="none" w:vAnchor="page" w:hAnchor="page" w:x="567" w:y="74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Вносимые изменения являются необходимыми действиями в экономической</w:t>
        <w:br/>
        <w:t>жизни городского округа и касаются следующих событий.</w:t>
      </w:r>
    </w:p>
    <w:p>
      <w:pPr>
        <w:pStyle w:val="Style18"/>
        <w:framePr w:w="10742" w:h="7807" w:hRule="exact" w:wrap="none" w:vAnchor="page" w:hAnchor="page" w:x="567" w:y="74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Контрольно-счетная палата города считает целесообразным внести данные</w:t>
        <w:br/>
        <w:t>изменения в Решение Совета народных депутатов города Фокино о внесении</w:t>
        <w:br/>
        <w:t>изменений и дополнений в Решение Совета народных депутатов города Фокино</w:t>
        <w:br/>
        <w:t>"О бюджете городского округа "город ■Фокино" на 2018 год и плановый период</w:t>
        <w:br/>
        <w:t>2019 и 2020 годов" № 5-928 от 12.12.2017</w:t>
      </w:r>
    </w:p>
    <w:p>
      <w:pPr>
        <w:pStyle w:val="Style22"/>
        <w:framePr w:wrap="none" w:vAnchor="page" w:hAnchor="page" w:x="3131" w:y="933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</w:t>
      </w:r>
    </w:p>
    <w:p>
      <w:pPr>
        <w:pStyle w:val="Style18"/>
        <w:framePr w:wrap="none" w:vAnchor="page" w:hAnchor="page" w:x="567" w:y="934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7421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Н.С. Сычев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3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5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  <w:spacing w:val="0"/>
    </w:rPr>
  </w:style>
  <w:style w:type="character" w:customStyle="1" w:styleId="CharStyle6">
    <w:name w:val="Заголовок №1 (2)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8">
    <w:name w:val="Заголовок №2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10">
    <w:name w:val="Основной текст (3)_"/>
    <w:basedOn w:val="DefaultParagraphFont"/>
    <w:link w:val="Style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11">
    <w:name w:val="Основной текст (3) + Calibri,16 pt"/>
    <w:basedOn w:val="CharStyle10"/>
    <w:rPr>
      <w:lang w:val="ru-RU" w:eastAsia="ru-RU" w:bidi="ru-RU"/>
      <w:sz w:val="32"/>
      <w:szCs w:val="32"/>
      <w:rFonts w:ascii="Calibri" w:eastAsia="Calibri" w:hAnsi="Calibri" w:cs="Calibri"/>
      <w:w w:val="100"/>
      <w:color w:val="000000"/>
      <w:position w:val="0"/>
    </w:rPr>
  </w:style>
  <w:style w:type="character" w:customStyle="1" w:styleId="CharStyle13">
    <w:name w:val="Основной текст (4)_"/>
    <w:basedOn w:val="DefaultParagraphFont"/>
    <w:link w:val="Style12"/>
    <w:rPr>
      <w:lang w:val="en-US" w:eastAsia="en-US" w:bidi="en-US"/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5">
    <w:name w:val="Основной текст (5)_"/>
    <w:basedOn w:val="DefaultParagraphFont"/>
    <w:link w:val="Style14"/>
    <w:rPr>
      <w:lang w:val="en-US" w:eastAsia="en-US" w:bidi="en-US"/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17">
    <w:name w:val="Основной текст (6)_"/>
    <w:basedOn w:val="DefaultParagraphFont"/>
    <w:link w:val="Style1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9">
    <w:name w:val="Основной текст (2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0">
    <w:name w:val="Основной текст (2)"/>
    <w:basedOn w:val="CharStyle1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1">
    <w:name w:val="Основной текст (3)"/>
    <w:basedOn w:val="CharStyle1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3">
    <w:name w:val="Подпись к картинке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before="300" w:after="30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  <w:spacing w:val="0"/>
    </w:rPr>
  </w:style>
  <w:style w:type="paragraph" w:customStyle="1" w:styleId="Style5">
    <w:name w:val="Заголовок №1 (2)"/>
    <w:basedOn w:val="Normal"/>
    <w:link w:val="CharStyle6"/>
    <w:pPr>
      <w:widowControl w:val="0"/>
      <w:shd w:val="clear" w:color="auto" w:fill="FFFFFF"/>
      <w:jc w:val="center"/>
      <w:outlineLvl w:val="0"/>
      <w:spacing w:before="300" w:line="586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7">
    <w:name w:val="Заголовок №2"/>
    <w:basedOn w:val="Normal"/>
    <w:link w:val="CharStyle8"/>
    <w:pPr>
      <w:widowControl w:val="0"/>
      <w:shd w:val="clear" w:color="auto" w:fill="FFFFFF"/>
      <w:outlineLvl w:val="1"/>
      <w:spacing w:line="586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FFFFFF"/>
      <w:jc w:val="both"/>
      <w:spacing w:line="370" w:lineRule="exact"/>
      <w:ind w:firstLine="62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12">
    <w:name w:val="Основной текст (4)"/>
    <w:basedOn w:val="Normal"/>
    <w:link w:val="CharStyle13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14">
    <w:name w:val="Основной текст (5)"/>
    <w:basedOn w:val="Normal"/>
    <w:link w:val="CharStyle15"/>
    <w:pPr>
      <w:widowControl w:val="0"/>
      <w:shd w:val="clear" w:color="auto" w:fill="FFFFFF"/>
      <w:spacing w:after="3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16">
    <w:name w:val="Основной текст (6)"/>
    <w:basedOn w:val="Normal"/>
    <w:link w:val="CharStyle17"/>
    <w:pPr>
      <w:widowControl w:val="0"/>
      <w:shd w:val="clear" w:color="auto" w:fill="FFFFFF"/>
      <w:jc w:val="both"/>
      <w:spacing w:before="300" w:after="300" w:line="0" w:lineRule="exact"/>
      <w:ind w:firstLine="6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8">
    <w:name w:val="Основной текст (2)"/>
    <w:basedOn w:val="Normal"/>
    <w:link w:val="CharStyle19"/>
    <w:pPr>
      <w:widowControl w:val="0"/>
      <w:shd w:val="clear" w:color="auto" w:fill="FFFFFF"/>
      <w:spacing w:before="300" w:after="180" w:line="367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2">
    <w:name w:val="Подпись к картинке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