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DC" w:rsidRPr="001254DC" w:rsidRDefault="001254DC" w:rsidP="008A54B4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color w:val="004A8F"/>
          <w:kern w:val="36"/>
          <w:sz w:val="36"/>
          <w:szCs w:val="36"/>
        </w:rPr>
      </w:pPr>
      <w:r w:rsidRPr="001254DC">
        <w:rPr>
          <w:rFonts w:ascii="Times New Roman" w:eastAsia="Times New Roman" w:hAnsi="Times New Roman" w:cs="Times New Roman"/>
          <w:color w:val="004A8F"/>
          <w:kern w:val="36"/>
          <w:sz w:val="36"/>
          <w:szCs w:val="36"/>
        </w:rPr>
        <w:t xml:space="preserve">Финансовая поддержка при проведении </w:t>
      </w:r>
      <w:proofErr w:type="spellStart"/>
      <w:r w:rsidRPr="001254DC">
        <w:rPr>
          <w:rFonts w:ascii="Times New Roman" w:eastAsia="Times New Roman" w:hAnsi="Times New Roman" w:cs="Times New Roman"/>
          <w:color w:val="004A8F"/>
          <w:kern w:val="36"/>
          <w:sz w:val="36"/>
          <w:szCs w:val="36"/>
        </w:rPr>
        <w:t>энергоэффективного</w:t>
      </w:r>
      <w:proofErr w:type="spellEnd"/>
      <w:r w:rsidRPr="001254DC">
        <w:rPr>
          <w:rFonts w:ascii="Times New Roman" w:eastAsia="Times New Roman" w:hAnsi="Times New Roman" w:cs="Times New Roman"/>
          <w:color w:val="004A8F"/>
          <w:kern w:val="36"/>
          <w:sz w:val="36"/>
          <w:szCs w:val="36"/>
        </w:rPr>
        <w:t xml:space="preserve"> капитального ремонта многоквартирных домов</w:t>
      </w:r>
    </w:p>
    <w:p w:rsidR="001254DC" w:rsidRPr="001254DC" w:rsidRDefault="00E57E82" w:rsidP="001254DC">
      <w:pPr>
        <w:spacing w:after="0" w:line="240" w:lineRule="atLeast"/>
        <w:rPr>
          <w:rFonts w:ascii="Times New Roman" w:eastAsia="Times New Roman" w:hAnsi="Times New Roman" w:cs="Times New Roman"/>
          <w:color w:val="2872BD"/>
          <w:sz w:val="20"/>
          <w:szCs w:val="20"/>
        </w:rPr>
      </w:pPr>
      <w:hyperlink r:id="rId5" w:history="1">
        <w:r w:rsidR="001254DC" w:rsidRPr="001254DC">
          <w:rPr>
            <w:rFonts w:ascii="Times New Roman" w:eastAsia="Times New Roman" w:hAnsi="Times New Roman" w:cs="Times New Roman"/>
            <w:b/>
            <w:bCs/>
            <w:color w:val="2872BD"/>
            <w:sz w:val="20"/>
            <w:u w:val="single"/>
          </w:rPr>
          <w:t>А. В. Фадеев</w:t>
        </w:r>
      </w:hyperlink>
      <w:r w:rsidR="001254DC" w:rsidRPr="001254DC">
        <w:rPr>
          <w:rFonts w:ascii="Times New Roman" w:eastAsia="Times New Roman" w:hAnsi="Times New Roman" w:cs="Times New Roman"/>
          <w:color w:val="2872BD"/>
          <w:sz w:val="20"/>
          <w:szCs w:val="20"/>
        </w:rPr>
        <w:t>, эксперт Департамента жилищно-коммунального хозяйства Минстроя России</w:t>
      </w:r>
    </w:p>
    <w:p w:rsidR="001254DC" w:rsidRPr="0026328E" w:rsidRDefault="001254DC" w:rsidP="0026328E">
      <w:pPr>
        <w:spacing w:line="252" w:lineRule="atLeast"/>
        <w:jc w:val="both"/>
        <w:rPr>
          <w:rFonts w:ascii="Times New Roman" w:eastAsia="Times New Roman" w:hAnsi="Times New Roman" w:cs="Times New Roman"/>
          <w:color w:val="5B5B5B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color w:val="5B5B5B"/>
          <w:sz w:val="18"/>
          <w:szCs w:val="18"/>
        </w:rPr>
        <w:t xml:space="preserve">Внедрение энергосберегающих технологий при строительстве новых зданий, безусловно, позволяет существенно снизить их энергопотребление. Однако доля вновь возводимых зданий относительно невелика по сравнению с числом зданий старой постройки. Поэтому большую значимость приобретает задача стимулирования повышения </w:t>
      </w:r>
      <w:proofErr w:type="spellStart"/>
      <w:r w:rsidRPr="001254DC">
        <w:rPr>
          <w:rFonts w:ascii="Times New Roman" w:eastAsia="Times New Roman" w:hAnsi="Times New Roman" w:cs="Times New Roman"/>
          <w:color w:val="5B5B5B"/>
          <w:sz w:val="18"/>
          <w:szCs w:val="18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color w:val="5B5B5B"/>
          <w:sz w:val="18"/>
          <w:szCs w:val="18"/>
        </w:rPr>
        <w:t xml:space="preserve"> эксплуатируемых жилых зданий при проведении их капитального ремонта. Достичь данной цели позволяет принятое 17 января 2017 года постановление Правительства РФ № 18</w:t>
      </w:r>
      <w:r w:rsidRPr="001254DC">
        <w:rPr>
          <w:rFonts w:ascii="Times New Roman" w:eastAsia="Times New Roman" w:hAnsi="Times New Roman" w:cs="Times New Roman"/>
          <w:color w:val="5B5B5B"/>
          <w:sz w:val="18"/>
        </w:rPr>
        <w:t> </w:t>
      </w:r>
      <w:r w:rsidRPr="001254DC">
        <w:rPr>
          <w:rFonts w:ascii="Times New Roman" w:eastAsia="Times New Roman" w:hAnsi="Times New Roman" w:cs="Times New Roman"/>
          <w:color w:val="5B5B5B"/>
          <w:sz w:val="18"/>
          <w:szCs w:val="18"/>
        </w:rPr>
        <w:t>(далее – По</w:t>
      </w:r>
      <w:r w:rsidR="008A54B4">
        <w:rPr>
          <w:rFonts w:ascii="Times New Roman" w:eastAsia="Times New Roman" w:hAnsi="Times New Roman" w:cs="Times New Roman"/>
          <w:color w:val="5B5B5B"/>
          <w:sz w:val="18"/>
          <w:szCs w:val="18"/>
        </w:rPr>
        <w:t>становление № 18, см. с. 6–7).</w:t>
      </w:r>
      <w:r w:rsidR="008A54B4">
        <w:rPr>
          <w:rFonts w:ascii="Times New Roman" w:eastAsia="Times New Roman" w:hAnsi="Times New Roman" w:cs="Times New Roman"/>
          <w:color w:val="5B5B5B"/>
          <w:sz w:val="18"/>
          <w:szCs w:val="18"/>
        </w:rPr>
        <w:br/>
      </w:r>
      <w:r w:rsidRPr="001254DC">
        <w:rPr>
          <w:rFonts w:ascii="Times New Roman" w:eastAsia="Times New Roman" w:hAnsi="Times New Roman" w:cs="Times New Roman"/>
          <w:color w:val="5B5B5B"/>
          <w:sz w:val="18"/>
          <w:szCs w:val="18"/>
        </w:rPr>
        <w:t>Документ создает реальный механизм массового внедрения энергосберегающих мероприятий при капитальном ремонте зданий, что говорит о его прорывном характере. Подобного рода программы поддержки собственников жилья успешно действуют и в других странах, и значит, Постановление № 18 полностью соответствует международному опыту.</w:t>
      </w:r>
    </w:p>
    <w:p w:rsidR="001254DC" w:rsidRPr="001254DC" w:rsidRDefault="001254DC" w:rsidP="001254DC">
      <w:pPr>
        <w:spacing w:before="225" w:after="75" w:line="240" w:lineRule="auto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>Реальная финансовая поддержка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Можно сказать, что принятие Постановления № 18 – это, по сути, первая попытка реальной поддержки энергосберегающих мероприятий, причем мероприятий не декларативных, а направленных на получение фактической экономии. Конечно, на первом этапе будут выделяться небольшие суммы, которые не покроют каких-то масштабных мероприятий, связанных с коренным переустройством многоквартирного дома (МКД). Тем не 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менее</w:t>
      </w:r>
      <w:proofErr w:type="gram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оказываемая поддержка позволит жителям дома реализовать какие-то точечные локальные решения.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При этом финансовая помощь может быть предоставлена как путем покрытия собственных средств жителей, так и в форме покрытия банковских процентов по сумме предоставления беспроцентного кредита для реализации мероприятий. Это может быть интересно собственникам с учетом того, что они при этом получают дополнительную экономию не менее 10 %. Конечно, это большой плюс.</w:t>
      </w:r>
    </w:p>
    <w:p w:rsidR="001254DC" w:rsidRPr="001254DC" w:rsidRDefault="001254DC" w:rsidP="001254DC">
      <w:pPr>
        <w:spacing w:before="225" w:after="75" w:line="240" w:lineRule="auto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>Рекомендуемые энергосберегающие мероприятия</w:t>
      </w:r>
    </w:p>
    <w:p w:rsidR="001254DC" w:rsidRPr="001254DC" w:rsidRDefault="001254DC" w:rsidP="008A54B4">
      <w:pPr>
        <w:spacing w:after="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Технические мероприятия и решения, рекомендуемые для достижения энергосбережения и повышения энергетической эффективности при капитальном ремонте общего имущества в многоквартирных домах, перечислены в приказе Минстроя России № 653/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пр</w:t>
      </w:r>
      <w:bookmarkStart w:id="0" w:name="noteAnchor1"/>
      <w:proofErr w:type="gramEnd"/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begin"/>
      </w:r>
      <w:r w:rsidRPr="001254DC">
        <w:rPr>
          <w:rFonts w:ascii="Times New Roman" w:eastAsia="Times New Roman" w:hAnsi="Times New Roman" w:cs="Times New Roman"/>
          <w:sz w:val="18"/>
          <w:szCs w:val="18"/>
        </w:rPr>
        <w:instrText xml:space="preserve"> HYPERLINK "https://www.abok.ru/for_spec/articles.php?nid=6614" \l "note1" </w:instrTex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separate"/>
      </w:r>
      <w:r w:rsidRPr="001254DC">
        <w:rPr>
          <w:rFonts w:ascii="Times New Roman" w:eastAsia="Times New Roman" w:hAnsi="Times New Roman" w:cs="Times New Roman"/>
          <w:color w:val="FF0000"/>
          <w:sz w:val="18"/>
          <w:u w:val="single"/>
          <w:vertAlign w:val="superscript"/>
        </w:rPr>
        <w:t>2</w: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end"/>
      </w:r>
      <w:bookmarkEnd w:id="0"/>
      <w:r w:rsidRPr="001254DC">
        <w:rPr>
          <w:rFonts w:ascii="Times New Roman" w:eastAsia="Times New Roman" w:hAnsi="Times New Roman" w:cs="Times New Roman"/>
          <w:sz w:val="18"/>
          <w:szCs w:val="18"/>
        </w:rPr>
        <w:t>. Данный приказ утвердил методические рекомендации, разработанные для определения единых подходов к формированию перечня энергосберегающих мероприятий при капитальном ремонте МКД. Представленный в документе перечень технических мероприятий и решений как раз и является базой.</w:t>
      </w:r>
    </w:p>
    <w:p w:rsidR="001254DC" w:rsidRPr="001254DC" w:rsidRDefault="001254DC" w:rsidP="008A54B4">
      <w:pPr>
        <w:spacing w:after="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Кроме того, в рамках исполнения п. 4 дорожной карты (плана мероприятий по повышению энергетической эффективности зданий</w:t>
      </w:r>
      <w:bookmarkStart w:id="1" w:name="noteAnchor2"/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begin"/>
      </w:r>
      <w:r w:rsidRPr="001254DC">
        <w:rPr>
          <w:rFonts w:ascii="Times New Roman" w:eastAsia="Times New Roman" w:hAnsi="Times New Roman" w:cs="Times New Roman"/>
          <w:sz w:val="18"/>
          <w:szCs w:val="18"/>
        </w:rPr>
        <w:instrText xml:space="preserve"> HYPERLINK "https://www.abok.ru/for_spec/articles.php?nid=6614" \l "note2" </w:instrTex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separate"/>
      </w:r>
      <w:r w:rsidRPr="001254DC">
        <w:rPr>
          <w:rFonts w:ascii="Times New Roman" w:eastAsia="Times New Roman" w:hAnsi="Times New Roman" w:cs="Times New Roman"/>
          <w:color w:val="FF0000"/>
          <w:sz w:val="18"/>
          <w:u w:val="single"/>
          <w:vertAlign w:val="superscript"/>
        </w:rPr>
        <w:t>3</w: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end"/>
      </w:r>
      <w:bookmarkEnd w:id="1"/>
      <w:r w:rsidRPr="001254DC">
        <w:rPr>
          <w:rFonts w:ascii="Times New Roman" w:eastAsia="Times New Roman" w:hAnsi="Times New Roman" w:cs="Times New Roman"/>
          <w:sz w:val="18"/>
          <w:szCs w:val="18"/>
        </w:rPr>
        <w:t>) подписан приказ Минстроя</w:t>
      </w:r>
    </w:p>
    <w:p w:rsidR="001254DC" w:rsidRPr="001254DC" w:rsidRDefault="001254DC" w:rsidP="008A54B4">
      <w:pPr>
        <w:spacing w:after="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России № 98/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пр</w:t>
      </w:r>
      <w:bookmarkStart w:id="2" w:name="noteAnchor3"/>
      <w:proofErr w:type="gramEnd"/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begin"/>
      </w:r>
      <w:r w:rsidRPr="001254DC">
        <w:rPr>
          <w:rFonts w:ascii="Times New Roman" w:eastAsia="Times New Roman" w:hAnsi="Times New Roman" w:cs="Times New Roman"/>
          <w:sz w:val="18"/>
          <w:szCs w:val="18"/>
        </w:rPr>
        <w:instrText xml:space="preserve"> HYPERLINK "https://www.abok.ru/for_spec/articles.php?nid=6614" \l "note3" </w:instrTex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separate"/>
      </w:r>
      <w:r w:rsidRPr="001254DC">
        <w:rPr>
          <w:rFonts w:ascii="Times New Roman" w:eastAsia="Times New Roman" w:hAnsi="Times New Roman" w:cs="Times New Roman"/>
          <w:color w:val="FF0000"/>
          <w:sz w:val="18"/>
          <w:u w:val="single"/>
          <w:vertAlign w:val="superscript"/>
        </w:rPr>
        <w:t>4</w:t>
      </w:r>
      <w:r w:rsidR="00E57E82" w:rsidRPr="001254DC">
        <w:rPr>
          <w:rFonts w:ascii="Times New Roman" w:eastAsia="Times New Roman" w:hAnsi="Times New Roman" w:cs="Times New Roman"/>
          <w:sz w:val="18"/>
          <w:szCs w:val="18"/>
        </w:rPr>
        <w:fldChar w:fldCharType="end"/>
      </w:r>
      <w:bookmarkEnd w:id="2"/>
      <w:r w:rsidRPr="001254DC">
        <w:rPr>
          <w:rFonts w:ascii="Times New Roman" w:eastAsia="Times New Roman" w:hAnsi="Times New Roman" w:cs="Times New Roman"/>
          <w:sz w:val="18"/>
        </w:rPr>
        <w:t> </w:t>
      </w: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о перечне мероприятий по повышению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зданий при капитальном ремонте. Мероприятия, вошедшие в этот перечень, конечно, будут пересекаться с технологиями, перечисленными в приказе Минстроя России № 653/пр. В дальнейшем при выборе энергосберегающих мероприятий для конкретного жилого дома можно будет руководствоваться обоими этими документами.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Помимо этого, Фондом содействия реформированию жилищно-коммунального хозяйства (далее – Фонд ЖКХ) разработано собственное методическое пособие в части предварительного расчета, оценки эффективности и срока окупаемости мероприятий. Это пособие также можно использовать для принятия решения о внедрении энергосберегающих технологий в доме.</w:t>
      </w:r>
    </w:p>
    <w:p w:rsidR="001254DC" w:rsidRPr="001254DC" w:rsidRDefault="001254DC" w:rsidP="008A54B4">
      <w:pPr>
        <w:spacing w:before="225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 xml:space="preserve">Алгоритм повышения </w:t>
      </w:r>
      <w:proofErr w:type="spellStart"/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 xml:space="preserve"> дома при капитальном ремонте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Первым шагом собственников жилья (ТСЖ), решивших сделать свой дом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энергоэффективным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>, должно стать обращение в администрацию. Сотрудники администрации на основании поданного обращения сформируют пакет документов для передачи в Фонд ЖКХ. В свою очередь, Фонд ЖКХ, приняв решение по оказанию помощи, переведет деньги на выполнение энергосберегающих мероприятий в администрацию. Именно администрация будет финансировать заявленные в Постановлении № 18 работы, предоставив деньги ТСЖ. Механизм подробно описан в Постановлении № 18.</w:t>
      </w:r>
    </w:p>
    <w:p w:rsidR="001254DC" w:rsidRPr="0026328E" w:rsidRDefault="001254DC" w:rsidP="0026328E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lastRenderedPageBreak/>
        <w:t>Главное – необходимо будет подтвердить эффект от внедрения выбранных мероприятий в процессе капитального ремонта – фактическое снижение энергопотребления. Поэтому в число мероприятий не входит банальная установка приборов учета энергоресурсов. Счетчики должны быть установлены еще до начала ремонта, поскольку показания приборов учета – это один из основных критериев, отраженных в Постановлении № 18.</w:t>
      </w:r>
    </w:p>
    <w:p w:rsidR="001254DC" w:rsidRPr="001254DC" w:rsidRDefault="001254DC" w:rsidP="001254DC">
      <w:pPr>
        <w:spacing w:before="225" w:after="75" w:line="240" w:lineRule="auto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>Глобальный эффект энергосбережения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Постановление № 18 готовили специалисты Фонда ЖКХ и Департамента жилищно-коммунального хозяйства Минстроя России. Нужно отметить, что Фонд ЖКХ уже давно и активно занимается вопросами повышения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как вновь строящихся зданий, так и реконструируемых. У организации накоплен значительный опыт в вопросах энергосбережения при капитальном ремонте многоквартирных домов. Постановление № 18 задает новое направление работы, которое позволяет Фонду ЖКХ активно вкладывать средства в реальные задачи и получать реальную отдачу и собственникам, и государству в целом.</w:t>
      </w:r>
    </w:p>
    <w:p w:rsidR="001254DC" w:rsidRPr="001254DC" w:rsidRDefault="001254DC" w:rsidP="008A54B4">
      <w:pPr>
        <w:spacing w:before="180" w:after="180" w:line="252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Здесь речь идет не только о финансовом эффекте. Деньги, сегодня вкладываемые в энергосбережение, завтра не только вернутся через снижение затрат на энергоресурсы, но и позволят повысить качество жизни, снизить негативную нагрузку на экологию и экономить традиционные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невозобновляемые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источники энергии. А это уже вклад в будущие поколения. Глобальный социальный эффект для общества в целом гораздо важнее, чем сиюминутный финансовый эффект для собственников. Это вклад в общемировой эффект, связанный со снижением энергопотребления, ограничением выбросов парниковых газов.</w:t>
      </w:r>
    </w:p>
    <w:tbl>
      <w:tblPr>
        <w:tblW w:w="7500" w:type="dxa"/>
        <w:jc w:val="center"/>
        <w:tblBorders>
          <w:top w:val="single" w:sz="6" w:space="0" w:color="0054A2"/>
          <w:left w:val="single" w:sz="6" w:space="0" w:color="0054A2"/>
          <w:bottom w:val="single" w:sz="6" w:space="0" w:color="0054A2"/>
          <w:right w:val="single" w:sz="6" w:space="0" w:color="0054A2"/>
        </w:tblBorders>
        <w:tblCellMar>
          <w:left w:w="0" w:type="dxa"/>
          <w:right w:w="0" w:type="dxa"/>
        </w:tblCellMar>
        <w:tblLook w:val="04A0"/>
      </w:tblPr>
      <w:tblGrid>
        <w:gridCol w:w="7500"/>
      </w:tblGrid>
      <w:tr w:rsidR="001254DC" w:rsidRPr="001254DC" w:rsidTr="001254D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54A2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r w:rsidRPr="001254DC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Постановление Правительства Российской федерации № 18 от 17 января 2017 года</w:t>
            </w:r>
          </w:p>
        </w:tc>
      </w:tr>
      <w:tr w:rsidR="001254DC" w:rsidRPr="001254DC" w:rsidTr="001254D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54DC" w:rsidRPr="001254DC" w:rsidRDefault="001254DC" w:rsidP="001254DC">
            <w:pPr>
              <w:spacing w:before="180" w:after="180" w:line="252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Постановление утверждает правила, по которым может быть возмещена часть затрат собственников жилья, ЖСК и управляющих организаций на </w:t>
            </w:r>
            <w:proofErr w:type="spellStart"/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энергоэффективный</w:t>
            </w:r>
            <w:proofErr w:type="spellEnd"/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капитальный ремонт многоквартирных домов, а также на уплату процентов, если этот ремонт выполняется на заемные средства. Правила определяют порядок, в том числе формы и условия, предоставления финансовой поддержки за счет средств государственной корпорации – Фонда содействия реформированию жилищно-коммунального хозяйства бюджетам субъектов РФ на проведение капитального ремонта общего имущества в многоквартирных домах.</w:t>
            </w:r>
          </w:p>
          <w:p w:rsidR="001254DC" w:rsidRPr="001254DC" w:rsidRDefault="001254DC" w:rsidP="001254DC">
            <w:pPr>
              <w:spacing w:before="180" w:after="180" w:line="252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соответствии с Правилами финансовая поддержка может предоставляться на возмещение:</w:t>
            </w:r>
          </w:p>
          <w:p w:rsidR="001254DC" w:rsidRPr="001254DC" w:rsidRDefault="001254DC" w:rsidP="001254D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части затрат на уплату процентов за пользование займом или кредитом, полученным в рублях и использованным на оплату услуг и (или) работ по капитальному ремонту общего имущества в многоквартирном доме (за исключением неустойки (штрафа, пеней) за нарушение условий договора займа или кредитного договора);</w:t>
            </w:r>
          </w:p>
          <w:p w:rsidR="001254DC" w:rsidRPr="001254DC" w:rsidRDefault="001254DC" w:rsidP="001254D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части расходов на оплату услуг и (или) работ по капитальному ремонту общего имущества в многоквартирном доме.</w:t>
            </w:r>
          </w:p>
          <w:p w:rsidR="001254DC" w:rsidRPr="001254DC" w:rsidRDefault="001254DC" w:rsidP="001254DC">
            <w:pPr>
              <w:spacing w:before="180" w:after="180" w:line="252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Размер финансовой поддержки для одного многоквартирного дома не может превышать 50 % общей стоимости услуг и (или) работ по капитальному ремонту этого многоквартирного дома, но не более 5 </w:t>
            </w:r>
            <w:proofErr w:type="spellStart"/>
            <w:proofErr w:type="gramStart"/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</w:t>
            </w:r>
            <w:proofErr w:type="spellEnd"/>
            <w:proofErr w:type="gramEnd"/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руб.</w:t>
            </w:r>
          </w:p>
          <w:p w:rsidR="001254DC" w:rsidRPr="001254DC" w:rsidRDefault="001254DC" w:rsidP="001254DC">
            <w:pPr>
              <w:spacing w:before="180" w:after="180" w:line="252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Финансирование, возмещающее часть расходов на оплату мероприятий по энергосбережению, определяется по каждому многоквартирному дому и может составлять от двукратного до четырехкратного размера годовой экономии расходов на оплату коммунальных ресурсов, учитываемых для целей определения размера финансовой поддержки, в зависимости от достигнутого значения целевого показателя экономии расходов на оплату коммунальных ресурсов и с учетом ограничений размера финансовой поддержки для одного многоквартирного дома.</w:t>
            </w:r>
            <w:proofErr w:type="gramEnd"/>
          </w:p>
          <w:p w:rsidR="001254DC" w:rsidRPr="0026328E" w:rsidRDefault="001254DC" w:rsidP="0026328E">
            <w:pPr>
              <w:spacing w:before="180" w:after="180" w:line="252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Конечные получатели средств финансовой поддержки – товарищества собственников жилья, жилищные, жилищно-строительные кооперативы, управляющие организации, которые управляют многоквартирным д</w:t>
            </w:r>
            <w:r w:rsidR="008A5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омом, по</w:t>
            </w:r>
            <w:r w:rsidRPr="001254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сле предоставления документов, подтверждающих выполнение условий, предусмотренных Правилами</w:t>
            </w:r>
            <w:r w:rsidR="00263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1254DC" w:rsidRPr="001254DC" w:rsidRDefault="001254DC" w:rsidP="001254DC">
      <w:pPr>
        <w:spacing w:before="225" w:after="75" w:line="240" w:lineRule="auto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lastRenderedPageBreak/>
        <w:t>Реальный эффект экономии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Поскольку строительство новых жилых зданий составляет относительно небольшую долю по сравнению с существующим жилым фондом, то и реальный потенциал энергосбережения и резерв экономии находятся как раз в модернизации и повышении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зданий старой постройки.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Получим ли мы в ближайшее время реальный эффект от действия Постановления № 18? Эксперты полагают, что да. Результат не заставит себя ждать. Программа финансовой поддержки будет развиваться, 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и</w:t>
      </w:r>
      <w:proofErr w:type="gram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по крайней мере на этот год (будем надеяться, что и в последующие годы) суммы, выделяемые по данной программе, будут расти. Главное, чтобы у собственников появилась истинная заинтересованность в результате. Предпосылки к этому есть. 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Например, расходы на отопление помещений постоянно увеличиваются: стоимость тепловой энергии за последние 10 лет выросла примерно в 10 раз.</w:t>
      </w:r>
      <w:proofErr w:type="gram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Если данный тренд сохранится, очевидно, что, вкладывая деньги в энергосбережение сегодня, собственники жилья создают себе существенный задел экономии, растущий во времени.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Напомним еще раз о важности наличия достоверного приборного учета – это серьезный реальный механизм </w:t>
      </w:r>
      <w:proofErr w:type="gramStart"/>
      <w:r w:rsidRPr="001254DC">
        <w:rPr>
          <w:rFonts w:ascii="Times New Roman" w:eastAsia="Times New Roman" w:hAnsi="Times New Roman" w:cs="Times New Roman"/>
          <w:sz w:val="18"/>
          <w:szCs w:val="18"/>
        </w:rPr>
        <w:t>контроля за</w:t>
      </w:r>
      <w:proofErr w:type="gram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энергопотреблением. Только если измерения покажут экономию, можно будет получить бонус от государства.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Особенно важно, что при капитальном ремонте предлагается выбирать из числа энергосберегающих мероприятий, уже подтвердивших свою эффективность в вопросах достижения реальной экономии. В результате их внедрения жильцы смогут на собственном кармане ощутить практическую пользу от их применения.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Однако не все мероприятия дают очевидный эффект. Например, в Великобритании собственники получают субсидию от государства при замене старых дверей на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энергоэффективные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>. Но, поменяв дверь, можно забыть ее закрыть, и тогда эффекта не будет. Да и расчеты показывают относительно небольшой эффект энергосбережения в данном случае. При минимальных затратах на эту кампанию получается и минимальная отдача.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А вот установка системы автоматизированного регулирования, которая устраняет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перетопы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и существенно повышает качество жизни, требует значительных финансовых вложений. Однако и отдача от данного мероприятия колоссальная. И сейчас благодаря Постановлению № 18 становится возможным внедрять такие мероприятия, используя помощь от государства.</w:t>
      </w:r>
    </w:p>
    <w:p w:rsidR="001254DC" w:rsidRPr="001254DC" w:rsidRDefault="001254DC" w:rsidP="001254DC">
      <w:pPr>
        <w:spacing w:before="225" w:after="75" w:line="240" w:lineRule="auto"/>
        <w:outlineLvl w:val="2"/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</w:pPr>
      <w:r w:rsidRPr="001254DC">
        <w:rPr>
          <w:rFonts w:ascii="Times New Roman" w:eastAsia="Times New Roman" w:hAnsi="Times New Roman" w:cs="Times New Roman"/>
          <w:b/>
          <w:bCs/>
          <w:color w:val="0054A2"/>
          <w:sz w:val="24"/>
          <w:szCs w:val="24"/>
        </w:rPr>
        <w:t>Постановление № 18 как этап дорожной карты</w:t>
      </w:r>
    </w:p>
    <w:p w:rsidR="001254DC" w:rsidRPr="001254DC" w:rsidRDefault="001254DC" w:rsidP="001254DC">
      <w:pPr>
        <w:spacing w:after="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Можно констатировать, что мероприятия, предусмотренные дорожной картой, планомерно реализуются.</w:t>
      </w:r>
    </w:p>
    <w:p w:rsidR="001254DC" w:rsidRPr="001254DC" w:rsidRDefault="001254DC" w:rsidP="001254DC">
      <w:pPr>
        <w:spacing w:after="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>Например, уже полностью выполнен пункт о повышении энергетической эффективности имущества садоводческих товариществ: в начале января 2017 года подписан соответствующий приказ Минстроя России № 8/пр. Эти мероприятия тоже очень важны.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Рассмотрим удаленный дачный поселок, где есть только общее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электро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- и водоснабжение. В этих условиях замена труб системы водоснабжения и установка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водосберегающего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оборудования, включая насосы с частотно-регулируемым приводом, позволяют экономить данный ресурс. Конечно, отдельное дачное товарищество сэкономит не очень много, но в масштабах страны ресурсосбережение будет значительным.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В ближайшее время планируется актуализировать приказ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Минрегиона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России № 3947 о перечне энергосберегающих мероприятий, в том числе индивидуального и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общедомового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имущества, которое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ресурсоснабжающая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организация должна предлагать собственнику. Здесь также будет расширен и обновлен перечень предлагаемых к внедрению энергосберегающих технологий. Например, в него включены и доводчики на дверях, и светоотражающая пленка для оконных стекол, и другие подобные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малозатратные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и просто реализуемые мероприятия, которые позволяют экономить. Это существенно расширенный перечень общих мероприятий.</w:t>
      </w:r>
    </w:p>
    <w:p w:rsidR="001254DC" w:rsidRPr="001254DC" w:rsidRDefault="001254DC" w:rsidP="001254DC">
      <w:pPr>
        <w:spacing w:before="180" w:after="180" w:line="252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Таким образом, можно констатировать, что в настоящее время проводится системная работа по выполнению плана мероприятий по повышению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зданий, предусмотренных дорожной картой. Задел на будущее сделан, и скорее всего, к 2025 году мы сможем уменьшить на 25 % (по сравнению с 2015 годом) значение удельного годового расхода тепловой и электрической энергии на </w:t>
      </w:r>
      <w:proofErr w:type="spellStart"/>
      <w:r w:rsidRPr="001254DC">
        <w:rPr>
          <w:rFonts w:ascii="Times New Roman" w:eastAsia="Times New Roman" w:hAnsi="Times New Roman" w:cs="Times New Roman"/>
          <w:sz w:val="18"/>
          <w:szCs w:val="18"/>
        </w:rPr>
        <w:t>общедомовые</w:t>
      </w:r>
      <w:proofErr w:type="spellEnd"/>
      <w:r w:rsidRPr="001254DC">
        <w:rPr>
          <w:rFonts w:ascii="Times New Roman" w:eastAsia="Times New Roman" w:hAnsi="Times New Roman" w:cs="Times New Roman"/>
          <w:sz w:val="18"/>
          <w:szCs w:val="18"/>
        </w:rPr>
        <w:t xml:space="preserve"> нужды и по всем помещениям в МКД.</w:t>
      </w:r>
    </w:p>
    <w:p w:rsidR="001254DC" w:rsidRPr="00BC3366" w:rsidRDefault="001254DC" w:rsidP="00BC33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54DC" w:rsidRPr="00BC3366" w:rsidSect="00310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E35C4"/>
    <w:multiLevelType w:val="multilevel"/>
    <w:tmpl w:val="DC8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366"/>
    <w:rsid w:val="001254DC"/>
    <w:rsid w:val="0026328E"/>
    <w:rsid w:val="00310517"/>
    <w:rsid w:val="008A54B4"/>
    <w:rsid w:val="00BC3366"/>
    <w:rsid w:val="00E2717D"/>
    <w:rsid w:val="00E5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7"/>
  </w:style>
  <w:style w:type="paragraph" w:styleId="1">
    <w:name w:val="heading 1"/>
    <w:basedOn w:val="a"/>
    <w:link w:val="10"/>
    <w:uiPriority w:val="9"/>
    <w:qFormat/>
    <w:rsid w:val="001254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254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4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254D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tclauthor">
    <w:name w:val="atcl_author"/>
    <w:basedOn w:val="a"/>
    <w:rsid w:val="0012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1254DC"/>
    <w:rPr>
      <w:b/>
      <w:bCs/>
    </w:rPr>
  </w:style>
  <w:style w:type="character" w:styleId="a4">
    <w:name w:val="Hyperlink"/>
    <w:basedOn w:val="a0"/>
    <w:uiPriority w:val="99"/>
    <w:semiHidden/>
    <w:unhideWhenUsed/>
    <w:rsid w:val="001254D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2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4DC"/>
  </w:style>
  <w:style w:type="paragraph" w:customStyle="1" w:styleId="atclps">
    <w:name w:val="atcl_ps"/>
    <w:basedOn w:val="a"/>
    <w:rsid w:val="0012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2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741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93936">
              <w:marLeft w:val="0"/>
              <w:marRight w:val="75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  <w:div w:id="20508414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50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2083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55494">
          <w:marLeft w:val="0"/>
          <w:marRight w:val="0"/>
          <w:marTop w:val="300"/>
          <w:marBottom w:val="300"/>
          <w:divBdr>
            <w:top w:val="single" w:sz="6" w:space="8" w:color="D8D8D8"/>
            <w:left w:val="none" w:sz="0" w:space="8" w:color="auto"/>
            <w:bottom w:val="none" w:sz="0" w:space="0" w:color="auto"/>
            <w:right w:val="none" w:sz="0" w:space="8" w:color="auto"/>
          </w:divBdr>
          <w:divsChild>
            <w:div w:id="1352143263">
              <w:marLeft w:val="0"/>
              <w:marRight w:val="0"/>
              <w:marTop w:val="30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bok.ru/?controller=articleAuthorView&amp;id=28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1797</Words>
  <Characters>10244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2017-08-02T08:37:00Z</cp:lastPrinted>
  <dcterms:created xsi:type="dcterms:W3CDTF">2017-08-02T08:29:00Z</dcterms:created>
  <dcterms:modified xsi:type="dcterms:W3CDTF">2017-08-07T07:15:00Z</dcterms:modified>
</cp:coreProperties>
</file>